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02A7A" w14:textId="77777777" w:rsidR="005B7E1E" w:rsidRDefault="000E7E85"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BC051CF" wp14:editId="2C0F4C31">
            <wp:simplePos x="0" y="0"/>
            <wp:positionH relativeFrom="column">
              <wp:posOffset>362198</wp:posOffset>
            </wp:positionH>
            <wp:positionV relativeFrom="paragraph">
              <wp:posOffset>321531</wp:posOffset>
            </wp:positionV>
            <wp:extent cx="2477282" cy="4611756"/>
            <wp:effectExtent l="19050" t="0" r="0" b="0"/>
            <wp:wrapNone/>
            <wp:docPr id="4" name="Рисунок 3" descr="C:\Documents and Settings\User\Рабочий стол\Безимени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Безимени-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4611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7C3" w:rsidRPr="002017C3">
        <w:rPr>
          <w:noProof/>
          <w:lang w:val="en-US" w:eastAsia="en-US"/>
        </w:rPr>
        <w:drawing>
          <wp:inline distT="0" distB="0" distL="0" distR="0" wp14:anchorId="61EAAD0B" wp14:editId="02FD7683">
            <wp:extent cx="5400040" cy="5517221"/>
            <wp:effectExtent l="19050" t="0" r="10160" b="7279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7A5FF7" w14:textId="77777777" w:rsidR="0081511F" w:rsidRDefault="000E7E85" w:rsidP="008151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7E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 1 Relative risk of </w:t>
      </w:r>
      <w:proofErr w:type="spellStart"/>
      <w:r w:rsidRPr="000E7E85">
        <w:rPr>
          <w:rFonts w:ascii="Times New Roman" w:hAnsi="Times New Roman" w:cs="Times New Roman"/>
          <w:b/>
          <w:sz w:val="24"/>
          <w:szCs w:val="24"/>
          <w:lang w:val="en-US"/>
        </w:rPr>
        <w:t>intraunerine</w:t>
      </w:r>
      <w:proofErr w:type="spellEnd"/>
      <w:r w:rsidRPr="000E7E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infection</w:t>
      </w:r>
      <w:bookmarkStart w:id="0" w:name="_GoBack"/>
      <w:bookmarkEnd w:id="0"/>
    </w:p>
    <w:sectPr w:rsidR="0081511F" w:rsidSect="002D7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C3"/>
    <w:rsid w:val="000E7E85"/>
    <w:rsid w:val="00116271"/>
    <w:rsid w:val="00175E84"/>
    <w:rsid w:val="002017C3"/>
    <w:rsid w:val="002D7D16"/>
    <w:rsid w:val="004611BC"/>
    <w:rsid w:val="005F3286"/>
    <w:rsid w:val="0081511F"/>
    <w:rsid w:val="00972FC3"/>
    <w:rsid w:val="00AD3A47"/>
    <w:rsid w:val="00D74CC9"/>
    <w:rsid w:val="00E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D5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F32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7C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F32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5F328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2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72FC3"/>
    <w:pPr>
      <w:spacing w:after="0" w:line="240" w:lineRule="auto"/>
      <w:ind w:firstLine="539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Relationship Id="rId2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35721199525551"/>
          <c:y val="0.0346518550931874"/>
          <c:w val="0.532199140065991"/>
          <c:h val="0.874181013645803"/>
        </c:manualLayout>
      </c:layout>
      <c:scatterChart>
        <c:scatterStyle val="lineMarker"/>
        <c:varyColors val="0"/>
        <c:ser>
          <c:idx val="1"/>
          <c:order val="1"/>
          <c:tx>
            <c:strRef>
              <c:f>Лист1!$A$23</c:f>
            </c:strRef>
          </c:tx>
          <c:spPr>
            <a:ln w="28575">
              <a:noFill/>
            </a:ln>
          </c:spPr>
          <c:errBars>
            <c:errDir val="x"/>
            <c:errBarType val="both"/>
            <c:errValType val="cust"/>
            <c:noEndCap val="0"/>
            <c:plus>
              <c:numRef>
                <c:f>Лист1!$F$2:$F$21</c:f>
                <c:numCache>
                  <c:formatCode>General</c:formatCode>
                  <c:ptCount val="20"/>
                  <c:pt idx="0">
                    <c:v>6.149999999999999</c:v>
                  </c:pt>
                  <c:pt idx="1">
                    <c:v>1.33</c:v>
                  </c:pt>
                  <c:pt idx="2">
                    <c:v>0.660000000000004</c:v>
                  </c:pt>
                  <c:pt idx="3">
                    <c:v>0.590000000000001</c:v>
                  </c:pt>
                  <c:pt idx="4">
                    <c:v>0.610000000000001</c:v>
                  </c:pt>
                  <c:pt idx="5">
                    <c:v>0.580000000000001</c:v>
                  </c:pt>
                  <c:pt idx="6">
                    <c:v>0.640000000000003</c:v>
                  </c:pt>
                  <c:pt idx="7">
                    <c:v>0.570000000000001</c:v>
                  </c:pt>
                  <c:pt idx="8">
                    <c:v>0.660000000000004</c:v>
                  </c:pt>
                  <c:pt idx="9">
                    <c:v>0.56</c:v>
                  </c:pt>
                  <c:pt idx="10">
                    <c:v>0.56</c:v>
                  </c:pt>
                  <c:pt idx="11">
                    <c:v>0.51</c:v>
                  </c:pt>
                  <c:pt idx="12">
                    <c:v>0.5</c:v>
                  </c:pt>
                  <c:pt idx="13">
                    <c:v>0.52</c:v>
                  </c:pt>
                  <c:pt idx="14">
                    <c:v>0.440000000000001</c:v>
                  </c:pt>
                  <c:pt idx="15">
                    <c:v>0.860000000000001</c:v>
                  </c:pt>
                  <c:pt idx="16">
                    <c:v>0.49</c:v>
                  </c:pt>
                  <c:pt idx="17">
                    <c:v>0.47</c:v>
                  </c:pt>
                  <c:pt idx="18">
                    <c:v>0.45</c:v>
                  </c:pt>
                  <c:pt idx="19">
                    <c:v>0.580000000000001</c:v>
                  </c:pt>
                </c:numCache>
              </c:numRef>
            </c:plus>
            <c:minus>
              <c:numRef>
                <c:f>Лист1!$E$2:$E$21</c:f>
                <c:numCache>
                  <c:formatCode>General</c:formatCode>
                  <c:ptCount val="20"/>
                  <c:pt idx="0">
                    <c:v>3.53</c:v>
                  </c:pt>
                  <c:pt idx="1">
                    <c:v>0.92</c:v>
                  </c:pt>
                  <c:pt idx="2">
                    <c:v>0.52</c:v>
                  </c:pt>
                  <c:pt idx="3">
                    <c:v>0.46</c:v>
                  </c:pt>
                  <c:pt idx="4">
                    <c:v>0.48</c:v>
                  </c:pt>
                  <c:pt idx="5">
                    <c:v>0.46</c:v>
                  </c:pt>
                  <c:pt idx="6">
                    <c:v>0.48</c:v>
                  </c:pt>
                  <c:pt idx="7">
                    <c:v>0.440000000000001</c:v>
                  </c:pt>
                  <c:pt idx="8">
                    <c:v>0.5</c:v>
                  </c:pt>
                  <c:pt idx="9">
                    <c:v>0.440000000000001</c:v>
                  </c:pt>
                  <c:pt idx="10">
                    <c:v>0.43</c:v>
                  </c:pt>
                  <c:pt idx="11">
                    <c:v>0.4</c:v>
                  </c:pt>
                  <c:pt idx="12">
                    <c:v>0.390000000000002</c:v>
                  </c:pt>
                  <c:pt idx="13">
                    <c:v>0.37</c:v>
                  </c:pt>
                  <c:pt idx="14">
                    <c:v>0.380000000000002</c:v>
                  </c:pt>
                  <c:pt idx="15">
                    <c:v>0.56</c:v>
                  </c:pt>
                  <c:pt idx="16">
                    <c:v>0.380000000000002</c:v>
                  </c:pt>
                  <c:pt idx="17">
                    <c:v>0.37</c:v>
                  </c:pt>
                  <c:pt idx="18">
                    <c:v>0.340000000000001</c:v>
                  </c:pt>
                  <c:pt idx="19">
                    <c:v>0.4</c:v>
                  </c:pt>
                </c:numCache>
              </c:numRef>
            </c:minus>
          </c:errBars>
          <c:xVal>
            <c:numRef>
              <c:f>Лист1!$B$2:$B$21</c:f>
            </c:numRef>
          </c:xVal>
          <c:yVal>
            <c:numRef>
              <c:f>Лист1!$G$2:$G$21</c:f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8B5-466E-9596-7100893FE55C}"/>
            </c:ext>
          </c:extLst>
        </c:ser>
        <c:ser>
          <c:idx val="2"/>
          <c:order val="2"/>
          <c:tx>
            <c:strRef>
              <c:f>Лист1!$A$23</c:f>
            </c:strRef>
          </c:tx>
          <c:spPr>
            <a:ln w="28575">
              <a:noFill/>
            </a:ln>
          </c:spPr>
          <c:errBars>
            <c:errDir val="x"/>
            <c:errBarType val="both"/>
            <c:errValType val="cust"/>
            <c:noEndCap val="0"/>
            <c:plus>
              <c:numRef>
                <c:f>Лист1!$F$2:$F$21</c:f>
                <c:numCache>
                  <c:formatCode>General</c:formatCode>
                  <c:ptCount val="20"/>
                  <c:pt idx="0">
                    <c:v>6.149999999999999</c:v>
                  </c:pt>
                  <c:pt idx="1">
                    <c:v>1.33</c:v>
                  </c:pt>
                  <c:pt idx="2">
                    <c:v>0.660000000000004</c:v>
                  </c:pt>
                  <c:pt idx="3">
                    <c:v>0.590000000000001</c:v>
                  </c:pt>
                  <c:pt idx="4">
                    <c:v>0.610000000000001</c:v>
                  </c:pt>
                  <c:pt idx="5">
                    <c:v>0.580000000000001</c:v>
                  </c:pt>
                  <c:pt idx="6">
                    <c:v>0.640000000000003</c:v>
                  </c:pt>
                  <c:pt idx="7">
                    <c:v>0.570000000000001</c:v>
                  </c:pt>
                  <c:pt idx="8">
                    <c:v>0.660000000000004</c:v>
                  </c:pt>
                  <c:pt idx="9">
                    <c:v>0.56</c:v>
                  </c:pt>
                  <c:pt idx="10">
                    <c:v>0.56</c:v>
                  </c:pt>
                  <c:pt idx="11">
                    <c:v>0.51</c:v>
                  </c:pt>
                  <c:pt idx="12">
                    <c:v>0.5</c:v>
                  </c:pt>
                  <c:pt idx="13">
                    <c:v>0.52</c:v>
                  </c:pt>
                  <c:pt idx="14">
                    <c:v>0.440000000000001</c:v>
                  </c:pt>
                  <c:pt idx="15">
                    <c:v>0.860000000000001</c:v>
                  </c:pt>
                  <c:pt idx="16">
                    <c:v>0.49</c:v>
                  </c:pt>
                  <c:pt idx="17">
                    <c:v>0.47</c:v>
                  </c:pt>
                  <c:pt idx="18">
                    <c:v>0.45</c:v>
                  </c:pt>
                  <c:pt idx="19">
                    <c:v>0.580000000000001</c:v>
                  </c:pt>
                </c:numCache>
              </c:numRef>
            </c:plus>
            <c:minus>
              <c:numRef>
                <c:f>Лист1!$E$2:$E$21</c:f>
                <c:numCache>
                  <c:formatCode>General</c:formatCode>
                  <c:ptCount val="20"/>
                  <c:pt idx="0">
                    <c:v>3.53</c:v>
                  </c:pt>
                  <c:pt idx="1">
                    <c:v>0.92</c:v>
                  </c:pt>
                  <c:pt idx="2">
                    <c:v>0.52</c:v>
                  </c:pt>
                  <c:pt idx="3">
                    <c:v>0.46</c:v>
                  </c:pt>
                  <c:pt idx="4">
                    <c:v>0.48</c:v>
                  </c:pt>
                  <c:pt idx="5">
                    <c:v>0.46</c:v>
                  </c:pt>
                  <c:pt idx="6">
                    <c:v>0.48</c:v>
                  </c:pt>
                  <c:pt idx="7">
                    <c:v>0.440000000000001</c:v>
                  </c:pt>
                  <c:pt idx="8">
                    <c:v>0.5</c:v>
                  </c:pt>
                  <c:pt idx="9">
                    <c:v>0.440000000000001</c:v>
                  </c:pt>
                  <c:pt idx="10">
                    <c:v>0.43</c:v>
                  </c:pt>
                  <c:pt idx="11">
                    <c:v>0.4</c:v>
                  </c:pt>
                  <c:pt idx="12">
                    <c:v>0.390000000000002</c:v>
                  </c:pt>
                  <c:pt idx="13">
                    <c:v>0.37</c:v>
                  </c:pt>
                  <c:pt idx="14">
                    <c:v>0.380000000000002</c:v>
                  </c:pt>
                  <c:pt idx="15">
                    <c:v>0.56</c:v>
                  </c:pt>
                  <c:pt idx="16">
                    <c:v>0.380000000000002</c:v>
                  </c:pt>
                  <c:pt idx="17">
                    <c:v>0.37</c:v>
                  </c:pt>
                  <c:pt idx="18">
                    <c:v>0.340000000000001</c:v>
                  </c:pt>
                  <c:pt idx="19">
                    <c:v>0.4</c:v>
                  </c:pt>
                </c:numCache>
              </c:numRef>
            </c:minus>
          </c:errBars>
          <c:xVal>
            <c:numRef>
              <c:f>Лист1!$B$2:$B$21</c:f>
            </c:numRef>
          </c:xVal>
          <c:yVal>
            <c:numRef>
              <c:f>Лист1!$G$2:$G$21</c:f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C8B5-466E-9596-7100893FE55C}"/>
            </c:ext>
          </c:extLst>
        </c:ser>
        <c:ser>
          <c:idx val="0"/>
          <c:order val="0"/>
          <c:tx>
            <c:strRef>
              <c:f>Лист1!$A$23</c:f>
              <c:strCache>
                <c:ptCount val="1"/>
                <c:pt idx="0">
                  <c:v>Стойкая угроза прерывания беременности
Использование ВМК
Использование КОК
Регрессирующая беременность в анамнезе
2 и более аборта в анамнезе
Изменения в ФПК по УЗИ (аномальное количество околоплодных вод, структурные изменения в плаценте)
НМПК
Угроза пре</c:v>
                </c:pt>
              </c:strCache>
            </c:strRef>
          </c:tx>
          <c:spPr>
            <a:ln w="28575">
              <a:noFill/>
            </a:ln>
          </c:spPr>
          <c:dLbls>
            <c:dLbl>
              <c:idx val="0"/>
              <c:layout>
                <c:manualLayout>
                  <c:x val="-0.157572906867357"/>
                  <c:y val="0.0"/>
                </c:manualLayout>
              </c:layout>
              <c:dLblPos val="r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0540921919096896"/>
                  <c:y val="-0.00230188350258219"/>
                </c:manualLayout>
              </c:layout>
              <c:dLblPos val="r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0376293508936971"/>
                  <c:y val="0.0"/>
                </c:manualLayout>
              </c:layout>
              <c:dLblPos val="r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0329256820319849"/>
                  <c:y val="0.0"/>
                </c:manualLayout>
              </c:layout>
              <c:dLblPos val="r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0305738476011289"/>
                  <c:y val="0.0"/>
                </c:manualLayout>
              </c:layout>
              <c:dLblPos val="r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035277516462841"/>
                  <c:y val="0.0"/>
                </c:manualLayout>
              </c:layout>
              <c:dLblPos val="r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035277516462841"/>
                  <c:y val="0.0"/>
                </c:manualLayout>
              </c:layout>
              <c:dLblPos val="r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0399811853245532"/>
                  <c:y val="0.00230188350258219"/>
                </c:manualLayout>
              </c:layout>
              <c:dLblPos val="r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0329256820319849"/>
                  <c:y val="0.0"/>
                </c:manualLayout>
              </c:layout>
              <c:dLblPos val="r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0376293508936971"/>
                  <c:y val="0.0"/>
                </c:manualLayout>
              </c:layout>
              <c:dLblPos val="r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.0493885230479774"/>
                  <c:y val="0.0"/>
                </c:manualLayout>
              </c:layout>
              <c:dLblPos val="r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0423330197554093"/>
                  <c:y val="0.0"/>
                </c:manualLayout>
              </c:layout>
              <c:dLblPos val="r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.0376293508936972"/>
                  <c:y val="0.0"/>
                </c:manualLayout>
              </c:layout>
              <c:dLblPos val="r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0329256820319849"/>
                  <c:y val="-0.00230188350258227"/>
                </c:manualLayout>
              </c:layout>
              <c:dLblPos val="r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0.0399811853245532"/>
                  <c:y val="-8.44014200822736E-17"/>
                </c:manualLayout>
              </c:layout>
              <c:dLblPos val="r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0.0564440263405457"/>
                  <c:y val="0.0"/>
                </c:manualLayout>
              </c:layout>
              <c:dLblPos val="r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0.0446848541862653"/>
                  <c:y val="0.0"/>
                </c:manualLayout>
              </c:layout>
              <c:dLblPos val="r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0.0376293508936971"/>
                  <c:y val="0.0"/>
                </c:manualLayout>
              </c:layout>
              <c:dLblPos val="r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0.0399811853245533"/>
                  <c:y val="0.0"/>
                </c:manualLayout>
              </c:layout>
              <c:dLblPos val="r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0.0470366886171214"/>
                  <c:y val="0.0"/>
                </c:manualLayout>
              </c:layout>
              <c:dLblPos val="r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r"/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errBars>
            <c:errDir val="x"/>
            <c:errBarType val="both"/>
            <c:errValType val="cust"/>
            <c:noEndCap val="0"/>
            <c:plus>
              <c:numRef>
                <c:f>Лист1!$F$2:$F$21</c:f>
                <c:numCache>
                  <c:formatCode>General</c:formatCode>
                  <c:ptCount val="20"/>
                  <c:pt idx="0">
                    <c:v>6.149999999999999</c:v>
                  </c:pt>
                  <c:pt idx="1">
                    <c:v>1.33</c:v>
                  </c:pt>
                  <c:pt idx="2">
                    <c:v>0.660000000000004</c:v>
                  </c:pt>
                  <c:pt idx="3">
                    <c:v>0.590000000000001</c:v>
                  </c:pt>
                  <c:pt idx="4">
                    <c:v>0.610000000000001</c:v>
                  </c:pt>
                  <c:pt idx="5">
                    <c:v>0.580000000000001</c:v>
                  </c:pt>
                  <c:pt idx="6">
                    <c:v>0.640000000000003</c:v>
                  </c:pt>
                  <c:pt idx="7">
                    <c:v>0.570000000000001</c:v>
                  </c:pt>
                  <c:pt idx="8">
                    <c:v>0.660000000000004</c:v>
                  </c:pt>
                  <c:pt idx="9">
                    <c:v>0.56</c:v>
                  </c:pt>
                  <c:pt idx="10">
                    <c:v>0.56</c:v>
                  </c:pt>
                  <c:pt idx="11">
                    <c:v>0.51</c:v>
                  </c:pt>
                  <c:pt idx="12">
                    <c:v>0.5</c:v>
                  </c:pt>
                  <c:pt idx="13">
                    <c:v>0.52</c:v>
                  </c:pt>
                  <c:pt idx="14">
                    <c:v>0.440000000000001</c:v>
                  </c:pt>
                  <c:pt idx="15">
                    <c:v>0.860000000000001</c:v>
                  </c:pt>
                  <c:pt idx="16">
                    <c:v>0.49</c:v>
                  </c:pt>
                  <c:pt idx="17">
                    <c:v>0.47</c:v>
                  </c:pt>
                  <c:pt idx="18">
                    <c:v>0.45</c:v>
                  </c:pt>
                  <c:pt idx="19">
                    <c:v>0.580000000000001</c:v>
                  </c:pt>
                </c:numCache>
              </c:numRef>
            </c:plus>
            <c:minus>
              <c:numRef>
                <c:f>Лист1!$E$2:$E$21</c:f>
                <c:numCache>
                  <c:formatCode>General</c:formatCode>
                  <c:ptCount val="20"/>
                  <c:pt idx="0">
                    <c:v>3.53</c:v>
                  </c:pt>
                  <c:pt idx="1">
                    <c:v>0.92</c:v>
                  </c:pt>
                  <c:pt idx="2">
                    <c:v>0.52</c:v>
                  </c:pt>
                  <c:pt idx="3">
                    <c:v>0.46</c:v>
                  </c:pt>
                  <c:pt idx="4">
                    <c:v>0.48</c:v>
                  </c:pt>
                  <c:pt idx="5">
                    <c:v>0.46</c:v>
                  </c:pt>
                  <c:pt idx="6">
                    <c:v>0.48</c:v>
                  </c:pt>
                  <c:pt idx="7">
                    <c:v>0.440000000000001</c:v>
                  </c:pt>
                  <c:pt idx="8">
                    <c:v>0.5</c:v>
                  </c:pt>
                  <c:pt idx="9">
                    <c:v>0.440000000000001</c:v>
                  </c:pt>
                  <c:pt idx="10">
                    <c:v>0.43</c:v>
                  </c:pt>
                  <c:pt idx="11">
                    <c:v>0.4</c:v>
                  </c:pt>
                  <c:pt idx="12">
                    <c:v>0.390000000000002</c:v>
                  </c:pt>
                  <c:pt idx="13">
                    <c:v>0.37</c:v>
                  </c:pt>
                  <c:pt idx="14">
                    <c:v>0.380000000000002</c:v>
                  </c:pt>
                  <c:pt idx="15">
                    <c:v>0.56</c:v>
                  </c:pt>
                  <c:pt idx="16">
                    <c:v>0.380000000000002</c:v>
                  </c:pt>
                  <c:pt idx="17">
                    <c:v>0.37</c:v>
                  </c:pt>
                  <c:pt idx="18">
                    <c:v>0.340000000000001</c:v>
                  </c:pt>
                  <c:pt idx="19">
                    <c:v>0.4</c:v>
                  </c:pt>
                </c:numCache>
              </c:numRef>
            </c:minus>
          </c:errBars>
          <c:xVal>
            <c:numRef>
              <c:f>Лист1!$B$2:$B$21</c:f>
              <c:numCache>
                <c:formatCode>General</c:formatCode>
                <c:ptCount val="20"/>
                <c:pt idx="0">
                  <c:v>8.33</c:v>
                </c:pt>
                <c:pt idx="1">
                  <c:v>2.92</c:v>
                </c:pt>
                <c:pt idx="2">
                  <c:v>2.44</c:v>
                </c:pt>
                <c:pt idx="3">
                  <c:v>2.309999999999999</c:v>
                </c:pt>
                <c:pt idx="4">
                  <c:v>2.23</c:v>
                </c:pt>
                <c:pt idx="5">
                  <c:v>2.14</c:v>
                </c:pt>
                <c:pt idx="6">
                  <c:v>2.12</c:v>
                </c:pt>
                <c:pt idx="7">
                  <c:v>2.07</c:v>
                </c:pt>
                <c:pt idx="8">
                  <c:v>2.05</c:v>
                </c:pt>
                <c:pt idx="9">
                  <c:v>2.01</c:v>
                </c:pt>
                <c:pt idx="10">
                  <c:v>1.9</c:v>
                </c:pt>
                <c:pt idx="11">
                  <c:v>1.780000000000002</c:v>
                </c:pt>
                <c:pt idx="12">
                  <c:v>1.720000000000002</c:v>
                </c:pt>
                <c:pt idx="13">
                  <c:v>1.700000000000002</c:v>
                </c:pt>
                <c:pt idx="14">
                  <c:v>1.690000000000006</c:v>
                </c:pt>
                <c:pt idx="15">
                  <c:v>1.66</c:v>
                </c:pt>
                <c:pt idx="16">
                  <c:v>1.58</c:v>
                </c:pt>
                <c:pt idx="17">
                  <c:v>1.58</c:v>
                </c:pt>
                <c:pt idx="18">
                  <c:v>1.5</c:v>
                </c:pt>
                <c:pt idx="19">
                  <c:v>1.38</c:v>
                </c:pt>
              </c:numCache>
            </c:numRef>
          </c:xVal>
          <c:yVal>
            <c:numRef>
              <c:f>Лист1!$G$2:$G$21</c:f>
              <c:numCache>
                <c:formatCode>General</c:formatCode>
                <c:ptCount val="20"/>
                <c:pt idx="0">
                  <c:v>20.0</c:v>
                </c:pt>
                <c:pt idx="1">
                  <c:v>19.0</c:v>
                </c:pt>
                <c:pt idx="2">
                  <c:v>18.0</c:v>
                </c:pt>
                <c:pt idx="3">
                  <c:v>17.0</c:v>
                </c:pt>
                <c:pt idx="4">
                  <c:v>16.0</c:v>
                </c:pt>
                <c:pt idx="5">
                  <c:v>15.0</c:v>
                </c:pt>
                <c:pt idx="6">
                  <c:v>14.0</c:v>
                </c:pt>
                <c:pt idx="7">
                  <c:v>13.0</c:v>
                </c:pt>
                <c:pt idx="8">
                  <c:v>12.0</c:v>
                </c:pt>
                <c:pt idx="9">
                  <c:v>11.0</c:v>
                </c:pt>
                <c:pt idx="10">
                  <c:v>10.0</c:v>
                </c:pt>
                <c:pt idx="11">
                  <c:v>9.0</c:v>
                </c:pt>
                <c:pt idx="12">
                  <c:v>8.0</c:v>
                </c:pt>
                <c:pt idx="13">
                  <c:v>7.0</c:v>
                </c:pt>
                <c:pt idx="14">
                  <c:v>6.0</c:v>
                </c:pt>
                <c:pt idx="15">
                  <c:v>5.0</c:v>
                </c:pt>
                <c:pt idx="16">
                  <c:v>4.0</c:v>
                </c:pt>
                <c:pt idx="17">
                  <c:v>3.0</c:v>
                </c:pt>
                <c:pt idx="18">
                  <c:v>2.0</c:v>
                </c:pt>
                <c:pt idx="19">
                  <c:v>1.0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C8B5-466E-9596-7100893FE5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53140752"/>
        <c:axId val="646316864"/>
      </c:scatterChart>
      <c:valAx>
        <c:axId val="653140752"/>
        <c:scaling>
          <c:logBase val="10.0"/>
          <c:orientation val="minMax"/>
          <c:max val="15.0"/>
          <c:min val="0.5"/>
        </c:scaling>
        <c:delete val="0"/>
        <c:axPos val="b"/>
        <c:numFmt formatCode="General" sourceLinked="1"/>
        <c:majorTickMark val="out"/>
        <c:minorTickMark val="none"/>
        <c:tickLblPos val="nextTo"/>
        <c:crossAx val="646316864"/>
        <c:crosses val="autoZero"/>
        <c:crossBetween val="midCat"/>
      </c:valAx>
      <c:valAx>
        <c:axId val="646316864"/>
        <c:scaling>
          <c:orientation val="minMax"/>
          <c:max val="21.0"/>
          <c:min val="0.0"/>
        </c:scaling>
        <c:delete val="0"/>
        <c:axPos val="l"/>
        <c:numFmt formatCode="General" sourceLinked="1"/>
        <c:majorTickMark val="out"/>
        <c:minorTickMark val="none"/>
        <c:tickLblPos val="none"/>
        <c:crossAx val="653140752"/>
        <c:crosses val="autoZero"/>
        <c:crossBetween val="midCat"/>
      </c:valAx>
      <c:spPr>
        <a:noFill/>
        <a:ln>
          <a:noFill/>
        </a:ln>
      </c:spPr>
    </c:plotArea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 sz="800"/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0.139</cdr:x>
      <cdr:y>0.10897</cdr:y>
    </cdr:from>
    <cdr:to>
      <cdr:x>0.33817</cdr:x>
      <cdr:y>0.21793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38175" y="914401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0.139</cdr:x>
      <cdr:y>0.10897</cdr:y>
    </cdr:from>
    <cdr:to>
      <cdr:x>0.33817</cdr:x>
      <cdr:y>0.21793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638175" y="914401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0.139</cdr:x>
      <cdr:y>0.10897</cdr:y>
    </cdr:from>
    <cdr:to>
      <cdr:x>0.33817</cdr:x>
      <cdr:y>0.21793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638175" y="914401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2017-03-17T12:07:00Z</dcterms:created>
  <dcterms:modified xsi:type="dcterms:W3CDTF">2017-03-17T12:07:00Z</dcterms:modified>
</cp:coreProperties>
</file>