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06922" w14:textId="77777777" w:rsidR="00C94CB8" w:rsidRPr="004A1FA0" w:rsidRDefault="004A1FA0">
      <w:pPr>
        <w:rPr>
          <w:b/>
          <w:sz w:val="28"/>
          <w:szCs w:val="28"/>
          <w:lang w:val="en-US"/>
        </w:rPr>
      </w:pPr>
      <w:r w:rsidRPr="004A1FA0">
        <w:rPr>
          <w:b/>
          <w:sz w:val="28"/>
          <w:szCs w:val="28"/>
          <w:lang w:val="en-US"/>
        </w:rPr>
        <w:t>Table. The most common complications after uterine artery embolization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387"/>
      </w:tblGrid>
      <w:tr w:rsidR="004A1FA0" w:rsidRPr="007C2CB6" w14:paraId="0811BE8F" w14:textId="77777777" w:rsidTr="004A1FA0">
        <w:trPr>
          <w:trHeight w:val="341"/>
        </w:trPr>
        <w:tc>
          <w:tcPr>
            <w:tcW w:w="4536" w:type="dxa"/>
          </w:tcPr>
          <w:p w14:paraId="699DFF10" w14:textId="77777777" w:rsidR="004A1FA0" w:rsidRPr="004A1FA0" w:rsidRDefault="004A1FA0" w:rsidP="004A1FA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Acute phase</w:t>
            </w:r>
          </w:p>
        </w:tc>
        <w:tc>
          <w:tcPr>
            <w:tcW w:w="5387" w:type="dxa"/>
          </w:tcPr>
          <w:p w14:paraId="6D4EEE1D" w14:textId="77777777" w:rsidR="004A1FA0" w:rsidRPr="007C2CB6" w:rsidRDefault="007C2CB6" w:rsidP="004A1FA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Subacute and chronic phase</w:t>
            </w:r>
          </w:p>
        </w:tc>
      </w:tr>
      <w:tr w:rsidR="004A1FA0" w:rsidRPr="00D924F5" w14:paraId="4FB3AB62" w14:textId="77777777" w:rsidTr="004A1FA0">
        <w:tc>
          <w:tcPr>
            <w:tcW w:w="4536" w:type="dxa"/>
          </w:tcPr>
          <w:p w14:paraId="2BC81658" w14:textId="77777777" w:rsidR="004A1FA0" w:rsidRPr="004A1FA0" w:rsidRDefault="004A1FA0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Pain</w:t>
            </w:r>
          </w:p>
        </w:tc>
        <w:tc>
          <w:tcPr>
            <w:tcW w:w="5387" w:type="dxa"/>
          </w:tcPr>
          <w:p w14:paraId="360DEFC2" w14:textId="77777777" w:rsidR="004A1FA0" w:rsidRPr="00D924F5" w:rsidRDefault="004A1FA0" w:rsidP="004A1F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Pain</w:t>
            </w:r>
          </w:p>
        </w:tc>
      </w:tr>
      <w:tr w:rsidR="004A1FA0" w:rsidRPr="000135B2" w14:paraId="609EEA3F" w14:textId="77777777" w:rsidTr="004A1FA0">
        <w:tc>
          <w:tcPr>
            <w:tcW w:w="4536" w:type="dxa"/>
          </w:tcPr>
          <w:p w14:paraId="3AC2BA80" w14:textId="77777777" w:rsidR="004A1FA0" w:rsidRPr="004A1FA0" w:rsidRDefault="004A1FA0" w:rsidP="004A1F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 w:rsidRPr="004A1FA0">
              <w:rPr>
                <w:rFonts w:eastAsiaTheme="minorHAnsi"/>
                <w:sz w:val="28"/>
                <w:szCs w:val="28"/>
                <w:lang w:val="en-US"/>
              </w:rPr>
              <w:t>Postembolisation</w:t>
            </w:r>
            <w:proofErr w:type="spellEnd"/>
            <w:r w:rsidRPr="004A1FA0">
              <w:rPr>
                <w:rFonts w:eastAsiaTheme="minorHAnsi"/>
                <w:sz w:val="28"/>
                <w:szCs w:val="28"/>
                <w:lang w:val="en-US"/>
              </w:rPr>
              <w:t xml:space="preserve"> syndrome</w:t>
            </w:r>
          </w:p>
        </w:tc>
        <w:tc>
          <w:tcPr>
            <w:tcW w:w="5387" w:type="dxa"/>
          </w:tcPr>
          <w:p w14:paraId="5B79898E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135B2">
              <w:rPr>
                <w:sz w:val="28"/>
                <w:szCs w:val="28"/>
                <w:lang w:val="en-US"/>
              </w:rPr>
              <w:t xml:space="preserve">Transient or permanent </w:t>
            </w:r>
            <w:proofErr w:type="spellStart"/>
            <w:r w:rsidRPr="000135B2">
              <w:rPr>
                <w:sz w:val="28"/>
                <w:szCs w:val="28"/>
                <w:lang w:val="en-US"/>
              </w:rPr>
              <w:t>amenorrhoea</w:t>
            </w:r>
            <w:proofErr w:type="spellEnd"/>
          </w:p>
        </w:tc>
      </w:tr>
      <w:tr w:rsidR="004A1FA0" w:rsidRPr="00D924F5" w14:paraId="0D57DE13" w14:textId="77777777" w:rsidTr="004A1FA0">
        <w:tc>
          <w:tcPr>
            <w:tcW w:w="4536" w:type="dxa"/>
          </w:tcPr>
          <w:p w14:paraId="4B8D4EAC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Sepsis</w:t>
            </w:r>
          </w:p>
        </w:tc>
        <w:tc>
          <w:tcPr>
            <w:tcW w:w="5387" w:type="dxa"/>
          </w:tcPr>
          <w:p w14:paraId="071009E2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Endometritis</w:t>
            </w:r>
          </w:p>
        </w:tc>
      </w:tr>
      <w:tr w:rsidR="004A1FA0" w:rsidRPr="00D924F5" w14:paraId="4E5360D7" w14:textId="77777777" w:rsidTr="004A1FA0">
        <w:tc>
          <w:tcPr>
            <w:tcW w:w="4536" w:type="dxa"/>
          </w:tcPr>
          <w:p w14:paraId="7EEF3080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Bleeding</w:t>
            </w:r>
          </w:p>
        </w:tc>
        <w:tc>
          <w:tcPr>
            <w:tcW w:w="5387" w:type="dxa"/>
          </w:tcPr>
          <w:p w14:paraId="3924A825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Urinary retention</w:t>
            </w:r>
          </w:p>
        </w:tc>
      </w:tr>
      <w:tr w:rsidR="004A1FA0" w:rsidRPr="00D924F5" w14:paraId="5A0A9C6C" w14:textId="77777777" w:rsidTr="004A1FA0">
        <w:tc>
          <w:tcPr>
            <w:tcW w:w="4536" w:type="dxa"/>
          </w:tcPr>
          <w:p w14:paraId="6FB70A4B" w14:textId="77777777" w:rsidR="004A1FA0" w:rsidRPr="00D924F5" w:rsidRDefault="000135B2" w:rsidP="004A1F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135B2">
              <w:rPr>
                <w:sz w:val="28"/>
                <w:szCs w:val="28"/>
              </w:rPr>
              <w:t>Groin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haematoma</w:t>
            </w:r>
            <w:proofErr w:type="spellEnd"/>
          </w:p>
        </w:tc>
        <w:tc>
          <w:tcPr>
            <w:tcW w:w="5387" w:type="dxa"/>
          </w:tcPr>
          <w:p w14:paraId="5C12D88E" w14:textId="77777777" w:rsidR="004A1FA0" w:rsidRPr="00D924F5" w:rsidRDefault="000135B2" w:rsidP="004A1F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135B2">
              <w:rPr>
                <w:sz w:val="28"/>
                <w:szCs w:val="28"/>
              </w:rPr>
              <w:t>Passage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of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fibroid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tissue</w:t>
            </w:r>
            <w:proofErr w:type="spellEnd"/>
          </w:p>
        </w:tc>
      </w:tr>
      <w:tr w:rsidR="004A1FA0" w:rsidRPr="00D924F5" w14:paraId="7502EAD6" w14:textId="77777777" w:rsidTr="004A1FA0">
        <w:tc>
          <w:tcPr>
            <w:tcW w:w="4536" w:type="dxa"/>
          </w:tcPr>
          <w:p w14:paraId="641FB718" w14:textId="77777777" w:rsidR="004A1FA0" w:rsidRPr="00D924F5" w:rsidRDefault="000135B2" w:rsidP="004A1F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135B2">
              <w:rPr>
                <w:sz w:val="28"/>
                <w:szCs w:val="28"/>
              </w:rPr>
              <w:t>Contrast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reaction</w:t>
            </w:r>
            <w:proofErr w:type="spellEnd"/>
          </w:p>
        </w:tc>
        <w:tc>
          <w:tcPr>
            <w:tcW w:w="5387" w:type="dxa"/>
          </w:tcPr>
          <w:p w14:paraId="2FC00815" w14:textId="77777777" w:rsidR="004A1FA0" w:rsidRPr="00D924F5" w:rsidRDefault="000135B2" w:rsidP="004A1F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135B2">
              <w:rPr>
                <w:sz w:val="28"/>
                <w:szCs w:val="28"/>
              </w:rPr>
              <w:t>Delayed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contrast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reaction</w:t>
            </w:r>
            <w:proofErr w:type="spellEnd"/>
          </w:p>
        </w:tc>
      </w:tr>
      <w:tr w:rsidR="004A1FA0" w:rsidRPr="00D924F5" w14:paraId="606679F0" w14:textId="77777777" w:rsidTr="004A1FA0">
        <w:tc>
          <w:tcPr>
            <w:tcW w:w="4536" w:type="dxa"/>
          </w:tcPr>
          <w:p w14:paraId="0BF81273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Vasovagal response</w:t>
            </w:r>
          </w:p>
        </w:tc>
        <w:tc>
          <w:tcPr>
            <w:tcW w:w="5387" w:type="dxa"/>
          </w:tcPr>
          <w:p w14:paraId="46E87F3F" w14:textId="77777777" w:rsidR="004A1FA0" w:rsidRPr="00D924F5" w:rsidRDefault="000135B2" w:rsidP="004A1F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135B2">
              <w:rPr>
                <w:sz w:val="28"/>
                <w:szCs w:val="28"/>
              </w:rPr>
              <w:t>Tuboovarian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abscess</w:t>
            </w:r>
            <w:proofErr w:type="spellEnd"/>
          </w:p>
        </w:tc>
      </w:tr>
      <w:tr w:rsidR="004A1FA0" w:rsidRPr="00D924F5" w14:paraId="7FCBC148" w14:textId="77777777" w:rsidTr="004A1FA0">
        <w:tc>
          <w:tcPr>
            <w:tcW w:w="4536" w:type="dxa"/>
          </w:tcPr>
          <w:p w14:paraId="5660D529" w14:textId="77777777" w:rsidR="004A1FA0" w:rsidRPr="000135B2" w:rsidRDefault="000135B2" w:rsidP="004A1FA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Pulmonary embolus</w:t>
            </w:r>
          </w:p>
        </w:tc>
        <w:tc>
          <w:tcPr>
            <w:tcW w:w="5387" w:type="dxa"/>
          </w:tcPr>
          <w:p w14:paraId="5BDE7217" w14:textId="77777777" w:rsidR="004A1FA0" w:rsidRPr="00D924F5" w:rsidRDefault="000135B2" w:rsidP="004A1F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135B2">
              <w:rPr>
                <w:sz w:val="28"/>
                <w:szCs w:val="28"/>
              </w:rPr>
              <w:t>Uterine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necrosis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and</w:t>
            </w:r>
            <w:proofErr w:type="spellEnd"/>
            <w:r w:rsidRPr="000135B2">
              <w:rPr>
                <w:sz w:val="28"/>
                <w:szCs w:val="28"/>
              </w:rPr>
              <w:t xml:space="preserve"> </w:t>
            </w:r>
            <w:proofErr w:type="spellStart"/>
            <w:r w:rsidRPr="000135B2">
              <w:rPr>
                <w:sz w:val="28"/>
                <w:szCs w:val="28"/>
              </w:rPr>
              <w:t>rupture</w:t>
            </w:r>
            <w:proofErr w:type="spellEnd"/>
          </w:p>
        </w:tc>
      </w:tr>
    </w:tbl>
    <w:p w14:paraId="46C2DAB2" w14:textId="77777777" w:rsidR="004A1FA0" w:rsidRPr="000135B2" w:rsidRDefault="004A1FA0" w:rsidP="000135B2">
      <w:pPr>
        <w:pStyle w:val="1"/>
        <w:spacing w:after="0" w:line="360" w:lineRule="auto"/>
        <w:ind w:left="0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A1FA0" w:rsidRPr="000135B2" w:rsidSect="008E42D0">
      <w:footerReference w:type="default" r:id="rId6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479C" w14:textId="77777777" w:rsidR="00AA0AFE" w:rsidRDefault="00AA0AFE" w:rsidP="000135B2">
      <w:pPr>
        <w:spacing w:after="0" w:line="240" w:lineRule="auto"/>
      </w:pPr>
      <w:r>
        <w:separator/>
      </w:r>
    </w:p>
  </w:endnote>
  <w:endnote w:type="continuationSeparator" w:id="0">
    <w:p w14:paraId="7961148E" w14:textId="77777777" w:rsidR="00AA0AFE" w:rsidRDefault="00AA0AFE" w:rsidP="000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81324"/>
      <w:docPartObj>
        <w:docPartGallery w:val="Page Numbers (Bottom of Page)"/>
        <w:docPartUnique/>
      </w:docPartObj>
    </w:sdtPr>
    <w:sdtEndPr/>
    <w:sdtContent>
      <w:p w14:paraId="6DFD14D3" w14:textId="77777777" w:rsidR="000135B2" w:rsidRDefault="000135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40">
          <w:rPr>
            <w:noProof/>
          </w:rPr>
          <w:t>1</w:t>
        </w:r>
        <w:r>
          <w:fldChar w:fldCharType="end"/>
        </w:r>
      </w:p>
    </w:sdtContent>
  </w:sdt>
  <w:p w14:paraId="2114C4F6" w14:textId="77777777" w:rsidR="000135B2" w:rsidRDefault="000135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C245" w14:textId="77777777" w:rsidR="00AA0AFE" w:rsidRDefault="00AA0AFE" w:rsidP="000135B2">
      <w:pPr>
        <w:spacing w:after="0" w:line="240" w:lineRule="auto"/>
      </w:pPr>
      <w:r>
        <w:separator/>
      </w:r>
    </w:p>
  </w:footnote>
  <w:footnote w:type="continuationSeparator" w:id="0">
    <w:p w14:paraId="029FF477" w14:textId="77777777" w:rsidR="00AA0AFE" w:rsidRDefault="00AA0AFE" w:rsidP="0001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EE"/>
    <w:rsid w:val="000135B2"/>
    <w:rsid w:val="00152A0D"/>
    <w:rsid w:val="001D323B"/>
    <w:rsid w:val="004A1FA0"/>
    <w:rsid w:val="004B0BEE"/>
    <w:rsid w:val="00764028"/>
    <w:rsid w:val="007C2CB6"/>
    <w:rsid w:val="0085158C"/>
    <w:rsid w:val="008E42D0"/>
    <w:rsid w:val="00935D13"/>
    <w:rsid w:val="009B7C29"/>
    <w:rsid w:val="00AA0AFE"/>
    <w:rsid w:val="00AE1B40"/>
    <w:rsid w:val="00C94CB8"/>
    <w:rsid w:val="00D21BD8"/>
    <w:rsid w:val="00F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0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FA0"/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4A1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B2"/>
    <w:rPr>
      <w:rFonts w:eastAsia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1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B2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2017-02-09T09:06:00Z</dcterms:created>
  <dcterms:modified xsi:type="dcterms:W3CDTF">2017-03-17T12:25:00Z</dcterms:modified>
</cp:coreProperties>
</file>