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FA" w:rsidRPr="0013069E" w:rsidRDefault="00D206B2" w:rsidP="0058018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13069E">
        <w:rPr>
          <w:rFonts w:ascii="Times New Roman" w:hAnsi="Times New Roman"/>
          <w:sz w:val="24"/>
          <w:szCs w:val="24"/>
          <w:lang w:val="en-US"/>
        </w:rPr>
        <w:t>Table</w:t>
      </w:r>
      <w:r w:rsidR="00FA56FA" w:rsidRPr="0013069E">
        <w:rPr>
          <w:rFonts w:ascii="Times New Roman" w:hAnsi="Times New Roman"/>
          <w:sz w:val="24"/>
          <w:szCs w:val="24"/>
          <w:lang w:val="en-US"/>
        </w:rPr>
        <w:t xml:space="preserve"> 7.</w:t>
      </w:r>
      <w:r w:rsidRPr="001306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56FA" w:rsidRPr="0013069E">
        <w:rPr>
          <w:rFonts w:ascii="Times New Roman" w:hAnsi="Times New Roman"/>
          <w:sz w:val="24"/>
          <w:szCs w:val="24"/>
          <w:lang w:val="en-US"/>
        </w:rPr>
        <w:t>ROC-</w:t>
      </w:r>
      <w:r w:rsidRPr="0013069E">
        <w:rPr>
          <w:rFonts w:ascii="Times New Roman" w:hAnsi="Times New Roman"/>
          <w:sz w:val="24"/>
          <w:szCs w:val="24"/>
          <w:lang w:val="en-US"/>
        </w:rPr>
        <w:t>analysis findings of the preeclampsia prediction</w:t>
      </w:r>
      <w:r w:rsidR="00FA56FA" w:rsidRPr="001306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069E">
        <w:rPr>
          <w:rFonts w:ascii="Times New Roman" w:hAnsi="Times New Roman"/>
          <w:sz w:val="24"/>
          <w:szCs w:val="24"/>
          <w:lang w:val="en-US"/>
        </w:rPr>
        <w:t>method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015"/>
        <w:gridCol w:w="1016"/>
        <w:gridCol w:w="1016"/>
        <w:gridCol w:w="1016"/>
        <w:gridCol w:w="1016"/>
        <w:gridCol w:w="1016"/>
      </w:tblGrid>
      <w:tr w:rsidR="00AA594B" w:rsidRPr="0013069E" w:rsidTr="002F24E1">
        <w:trPr>
          <w:cantSplit/>
          <w:trHeight w:val="2246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FA56FA" w:rsidRPr="0013069E" w:rsidRDefault="00075836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FA56FA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ut</w:t>
            </w:r>
            <w:r w:rsidR="00FA56FA" w:rsidRPr="0013069E">
              <w:rPr>
                <w:rFonts w:ascii="Times New Roman" w:hAnsi="Times New Roman"/>
                <w:sz w:val="24"/>
                <w:szCs w:val="24"/>
              </w:rPr>
              <w:t>-</w:t>
            </w:r>
            <w:r w:rsidR="00FA56FA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off</w:t>
            </w:r>
            <w:r w:rsidR="00FA56FA" w:rsidRPr="0013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6FA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</w:tcPr>
          <w:p w:rsidR="0006254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AUC</w:t>
            </w:r>
            <w:r w:rsidR="00C417B1" w:rsidRPr="0013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value</w:t>
            </w:r>
            <w:r w:rsidR="0006254A" w:rsidRPr="001306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C417B1" w:rsidRPr="0013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1015" w:type="dxa"/>
            <w:shd w:val="clear" w:color="auto" w:fill="auto"/>
            <w:textDirection w:val="btLr"/>
            <w:vAlign w:val="center"/>
          </w:tcPr>
          <w:p w:rsidR="00FA56FA" w:rsidRPr="0013069E" w:rsidRDefault="000E4B52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Sensitivity</w:t>
            </w:r>
            <w:r w:rsidR="00FA56FA" w:rsidRPr="0013069E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016" w:type="dxa"/>
            <w:shd w:val="clear" w:color="auto" w:fill="auto"/>
            <w:textDirection w:val="btLr"/>
            <w:vAlign w:val="center"/>
          </w:tcPr>
          <w:p w:rsidR="00FA56FA" w:rsidRPr="0013069E" w:rsidRDefault="000E4B52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Specificity</w:t>
            </w:r>
            <w:r w:rsidR="00FA56FA" w:rsidRPr="0013069E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016" w:type="dxa"/>
            <w:textDirection w:val="btLr"/>
            <w:vAlign w:val="center"/>
          </w:tcPr>
          <w:p w:rsidR="00FA56FA" w:rsidRPr="0013069E" w:rsidRDefault="0006254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Positive predictive value, </w:t>
            </w:r>
            <w:r w:rsidR="00FA56FA" w:rsidRPr="001306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textDirection w:val="btLr"/>
            <w:vAlign w:val="center"/>
          </w:tcPr>
          <w:p w:rsidR="00FA56FA" w:rsidRPr="0013069E" w:rsidRDefault="0006254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Negative predictive value</w:t>
            </w:r>
            <w:r w:rsidR="00FA56FA" w:rsidRPr="0013069E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016" w:type="dxa"/>
            <w:textDirection w:val="btLr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LR</w:t>
            </w:r>
            <w:r w:rsidRPr="0013069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016" w:type="dxa"/>
            <w:textDirection w:val="btLr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LR</w:t>
            </w:r>
            <w:r w:rsidRPr="0013069E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AA594B" w:rsidRPr="0013069E" w:rsidTr="002F24E1">
        <w:trPr>
          <w:trHeight w:val="653"/>
        </w:trPr>
        <w:tc>
          <w:tcPr>
            <w:tcW w:w="993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≥</w:t>
            </w:r>
            <w:r w:rsidR="00C417B1" w:rsidRPr="0013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-2</w:t>
            </w:r>
            <w:r w:rsidR="00C417B1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  <w:r w:rsidR="00C417B1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82±0</w:t>
            </w:r>
            <w:r w:rsidR="00C417B1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052,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˂0</w:t>
            </w:r>
            <w:r w:rsidR="00C417B1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77</w:t>
            </w:r>
            <w:r w:rsidR="00C417B1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75</w:t>
            </w:r>
            <w:r w:rsidR="00C417B1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24</w:t>
            </w:r>
            <w:r w:rsidR="00C417B1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97</w:t>
            </w:r>
            <w:r w:rsidR="00C417B1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3</w:t>
            </w:r>
            <w:r w:rsidR="00C417B1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6" w:type="dxa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  <w:r w:rsidR="00C417B1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58018D" w:rsidRDefault="0058018D" w:rsidP="0058018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018D">
        <w:rPr>
          <w:rFonts w:ascii="Times New Roman" w:hAnsi="Times New Roman"/>
          <w:sz w:val="24"/>
          <w:szCs w:val="24"/>
          <w:lang w:val="en-US"/>
        </w:rPr>
        <w:t>The value of the diagnostic coefficients sum equal to (-2) points or more is the diagnostic cut-off point of preeclampsia development prediction method.</w:t>
      </w:r>
    </w:p>
    <w:p w:rsidR="007F28A2" w:rsidRPr="0006254A" w:rsidRDefault="00FA56FA" w:rsidP="002F24E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3069E">
        <w:rPr>
          <w:rFonts w:ascii="Times New Roman" w:hAnsi="Times New Roman"/>
          <w:sz w:val="24"/>
          <w:szCs w:val="24"/>
          <w:lang w:val="en-US"/>
        </w:rPr>
        <w:t xml:space="preserve">AUC </w:t>
      </w:r>
      <w:r w:rsidR="0006254A" w:rsidRPr="0013069E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06254A" w:rsidRPr="0013069E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en-US"/>
        </w:rPr>
        <w:t>Area Under Curve</w:t>
      </w:r>
      <w:r w:rsidRPr="0013069E">
        <w:rPr>
          <w:rFonts w:ascii="Times New Roman" w:hAnsi="Times New Roman"/>
          <w:sz w:val="24"/>
          <w:szCs w:val="24"/>
          <w:lang w:val="en-US"/>
        </w:rPr>
        <w:t>; LR</w:t>
      </w:r>
      <w:r w:rsidRPr="0013069E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1306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254A" w:rsidRPr="0013069E">
        <w:rPr>
          <w:rFonts w:ascii="Times New Roman" w:hAnsi="Times New Roman"/>
          <w:sz w:val="24"/>
          <w:szCs w:val="24"/>
          <w:lang w:val="en-US"/>
        </w:rPr>
        <w:t>- positive likelihood ratio</w:t>
      </w:r>
      <w:r w:rsidRPr="0013069E">
        <w:rPr>
          <w:rFonts w:ascii="Times New Roman" w:hAnsi="Times New Roman"/>
          <w:sz w:val="24"/>
          <w:szCs w:val="24"/>
          <w:lang w:val="en-US"/>
        </w:rPr>
        <w:t>; LR</w:t>
      </w:r>
      <w:r w:rsidRPr="0013069E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="0006254A" w:rsidRPr="0013069E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1306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254A" w:rsidRPr="0013069E">
        <w:rPr>
          <w:rFonts w:ascii="Times New Roman" w:hAnsi="Times New Roman"/>
          <w:sz w:val="24"/>
          <w:szCs w:val="24"/>
          <w:lang w:val="en-US"/>
        </w:rPr>
        <w:t>negative likelihood ratio</w:t>
      </w:r>
      <w:r w:rsidRPr="0013069E">
        <w:rPr>
          <w:rFonts w:ascii="Times New Roman" w:hAnsi="Times New Roman"/>
          <w:sz w:val="24"/>
          <w:szCs w:val="24"/>
          <w:lang w:val="en-US"/>
        </w:rPr>
        <w:t>.</w:t>
      </w:r>
    </w:p>
    <w:sectPr w:rsidR="007F28A2" w:rsidRPr="0006254A" w:rsidSect="009613A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A54C9"/>
    <w:multiLevelType w:val="hybridMultilevel"/>
    <w:tmpl w:val="5A3C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A8"/>
    <w:rsid w:val="0006254A"/>
    <w:rsid w:val="00075836"/>
    <w:rsid w:val="000D5869"/>
    <w:rsid w:val="000E4B52"/>
    <w:rsid w:val="001119DD"/>
    <w:rsid w:val="00120FBF"/>
    <w:rsid w:val="0013069E"/>
    <w:rsid w:val="0013744E"/>
    <w:rsid w:val="00165D3E"/>
    <w:rsid w:val="001A13C0"/>
    <w:rsid w:val="001C52B4"/>
    <w:rsid w:val="001D55A8"/>
    <w:rsid w:val="001E38AA"/>
    <w:rsid w:val="00253A0E"/>
    <w:rsid w:val="0025554A"/>
    <w:rsid w:val="002761C6"/>
    <w:rsid w:val="00285821"/>
    <w:rsid w:val="0029459C"/>
    <w:rsid w:val="002F24E1"/>
    <w:rsid w:val="00354238"/>
    <w:rsid w:val="003A21F2"/>
    <w:rsid w:val="003A3304"/>
    <w:rsid w:val="003C00B5"/>
    <w:rsid w:val="003C71CF"/>
    <w:rsid w:val="00411C8E"/>
    <w:rsid w:val="00434E46"/>
    <w:rsid w:val="004358A0"/>
    <w:rsid w:val="00444446"/>
    <w:rsid w:val="004930A9"/>
    <w:rsid w:val="004D75BB"/>
    <w:rsid w:val="0058018D"/>
    <w:rsid w:val="005F5363"/>
    <w:rsid w:val="006520FB"/>
    <w:rsid w:val="006B702F"/>
    <w:rsid w:val="006D5C70"/>
    <w:rsid w:val="006F51BB"/>
    <w:rsid w:val="00705875"/>
    <w:rsid w:val="007167ED"/>
    <w:rsid w:val="00760FB0"/>
    <w:rsid w:val="00782482"/>
    <w:rsid w:val="00786CE4"/>
    <w:rsid w:val="007F28A2"/>
    <w:rsid w:val="008851CE"/>
    <w:rsid w:val="009576D9"/>
    <w:rsid w:val="009613A8"/>
    <w:rsid w:val="009B4DBA"/>
    <w:rsid w:val="00AA594B"/>
    <w:rsid w:val="00AA7695"/>
    <w:rsid w:val="00AB3721"/>
    <w:rsid w:val="00AF67C9"/>
    <w:rsid w:val="00B44FBC"/>
    <w:rsid w:val="00C03F1B"/>
    <w:rsid w:val="00C417B1"/>
    <w:rsid w:val="00C83968"/>
    <w:rsid w:val="00CA6CC6"/>
    <w:rsid w:val="00D206B2"/>
    <w:rsid w:val="00D307A5"/>
    <w:rsid w:val="00DB48A3"/>
    <w:rsid w:val="00DB708A"/>
    <w:rsid w:val="00DD1C90"/>
    <w:rsid w:val="00DD37F6"/>
    <w:rsid w:val="00DF41FA"/>
    <w:rsid w:val="00E74095"/>
    <w:rsid w:val="00E92181"/>
    <w:rsid w:val="00EB4E84"/>
    <w:rsid w:val="00EC00DF"/>
    <w:rsid w:val="00F435D9"/>
    <w:rsid w:val="00F7032B"/>
    <w:rsid w:val="00F875A9"/>
    <w:rsid w:val="00FA56FA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7D4ECEF-FB09-3A42-81BC-E4C74A2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3A8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CA6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A56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65D3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6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3322-FC1F-1948-91CF-F8EC9A71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2018-01-23T07:05:00Z</dcterms:created>
  <dcterms:modified xsi:type="dcterms:W3CDTF">2018-01-23T07:05:00Z</dcterms:modified>
</cp:coreProperties>
</file>