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6D" w:rsidRPr="00C86491" w:rsidRDefault="004D796D" w:rsidP="004D796D">
      <w:pPr>
        <w:pStyle w:val="Caption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6491">
        <w:rPr>
          <w:rFonts w:ascii="Times New Roman" w:hAnsi="Times New Roman" w:cs="Times New Roman"/>
          <w:color w:val="333333"/>
          <w:sz w:val="28"/>
          <w:szCs w:val="28"/>
          <w:lang w:val="en-US"/>
        </w:rPr>
        <w:t>Figure 1. The structure of the pathology of the endometrium in infertile patients with HIV according to histological findings (%)</w:t>
      </w:r>
    </w:p>
    <w:p w:rsidR="00632FA2" w:rsidRDefault="004D796D" w:rsidP="00632FA2">
      <w:pPr>
        <w:tabs>
          <w:tab w:val="left" w:pos="1056"/>
        </w:tabs>
      </w:pPr>
      <w:r w:rsidRPr="004D796D">
        <w:rPr>
          <w:noProof/>
        </w:rPr>
        <w:drawing>
          <wp:inline distT="0" distB="0" distL="0" distR="0">
            <wp:extent cx="5677232" cy="2862469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32FA2" w:rsidSect="00D5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2"/>
    <w:rsid w:val="000E4C2E"/>
    <w:rsid w:val="003B1312"/>
    <w:rsid w:val="003E110E"/>
    <w:rsid w:val="004D796D"/>
    <w:rsid w:val="00632FA2"/>
    <w:rsid w:val="008B3E6C"/>
    <w:rsid w:val="00B34274"/>
    <w:rsid w:val="00C86491"/>
    <w:rsid w:val="00CC75AA"/>
    <w:rsid w:val="00D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165A6E-93CC-414A-8AAC-7F5C3A1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2FA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патологии эндометрия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chronic endometritis</c:v>
                </c:pt>
                <c:pt idx="1">
                  <c:v>hyperplastic processes</c:v>
                </c:pt>
                <c:pt idx="2">
                  <c:v>a combination of hyperplasia and endometritis</c:v>
                </c:pt>
                <c:pt idx="3">
                  <c:v>without pathology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33.300000000000004</c:v>
                </c:pt>
                <c:pt idx="2">
                  <c:v>19.100000000000001</c:v>
                </c:pt>
                <c:pt idx="3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9-624E-8E2D-2AC39E032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849276887599346"/>
          <c:y val="0.26116957342948982"/>
          <c:w val="0.35243711488853574"/>
          <c:h val="0.4895381068020703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Microsoft Office User</cp:lastModifiedBy>
  <cp:revision>2</cp:revision>
  <dcterms:created xsi:type="dcterms:W3CDTF">2018-04-24T08:47:00Z</dcterms:created>
  <dcterms:modified xsi:type="dcterms:W3CDTF">2018-04-24T08:47:00Z</dcterms:modified>
</cp:coreProperties>
</file>